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B0981" w:rsidRDefault="009B2FD9">
      <w:r>
        <w:t>附件</w:t>
      </w:r>
      <w:r>
        <w:t>2</w:t>
      </w:r>
      <w:r>
        <w:t>：</w:t>
      </w:r>
    </w:p>
    <w:p w:rsidR="007B0981" w:rsidRDefault="009B2FD9">
      <w:pPr>
        <w:jc w:val="center"/>
      </w:pPr>
      <w:r>
        <w:rPr>
          <w:rFonts w:eastAsia="华文隶书"/>
          <w:b/>
          <w:bCs/>
          <w:sz w:val="30"/>
        </w:rPr>
        <w:t>生命科学技术学院本科毕业论文（设计）选题申报表</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6"/>
        <w:gridCol w:w="602"/>
        <w:gridCol w:w="700"/>
        <w:gridCol w:w="770"/>
        <w:gridCol w:w="1350"/>
        <w:gridCol w:w="1800"/>
        <w:gridCol w:w="2700"/>
      </w:tblGrid>
      <w:tr w:rsidR="007B0981">
        <w:trPr>
          <w:cantSplit/>
        </w:trPr>
        <w:tc>
          <w:tcPr>
            <w:tcW w:w="1186" w:type="dxa"/>
            <w:tcBorders>
              <w:top w:val="single" w:sz="4" w:space="0" w:color="auto"/>
              <w:left w:val="single" w:sz="4" w:space="0" w:color="auto"/>
              <w:bottom w:val="single" w:sz="4" w:space="0" w:color="auto"/>
              <w:right w:val="single" w:sz="4" w:space="0" w:color="auto"/>
            </w:tcBorders>
            <w:vAlign w:val="center"/>
          </w:tcPr>
          <w:p w:rsidR="007B0981" w:rsidRDefault="009B2FD9">
            <w:pPr>
              <w:spacing w:line="480" w:lineRule="auto"/>
              <w:jc w:val="center"/>
              <w:rPr>
                <w:sz w:val="24"/>
              </w:rPr>
            </w:pPr>
            <w:r>
              <w:rPr>
                <w:sz w:val="24"/>
              </w:rPr>
              <w:t>导师姓名</w:t>
            </w:r>
          </w:p>
        </w:tc>
        <w:tc>
          <w:tcPr>
            <w:tcW w:w="1302" w:type="dxa"/>
            <w:gridSpan w:val="2"/>
            <w:tcBorders>
              <w:top w:val="single" w:sz="4" w:space="0" w:color="auto"/>
              <w:left w:val="single" w:sz="4" w:space="0" w:color="auto"/>
              <w:bottom w:val="single" w:sz="4" w:space="0" w:color="auto"/>
              <w:right w:val="single" w:sz="4" w:space="0" w:color="auto"/>
            </w:tcBorders>
            <w:vAlign w:val="center"/>
          </w:tcPr>
          <w:p w:rsidR="007B0981" w:rsidRDefault="009B2FD9">
            <w:pPr>
              <w:spacing w:line="480" w:lineRule="auto"/>
              <w:jc w:val="center"/>
              <w:rPr>
                <w:sz w:val="24"/>
              </w:rPr>
            </w:pPr>
            <w:r>
              <w:rPr>
                <w:sz w:val="24"/>
              </w:rPr>
              <w:t>曾戎</w:t>
            </w:r>
          </w:p>
        </w:tc>
        <w:tc>
          <w:tcPr>
            <w:tcW w:w="770" w:type="dxa"/>
            <w:tcBorders>
              <w:top w:val="single" w:sz="4" w:space="0" w:color="auto"/>
              <w:left w:val="single" w:sz="4" w:space="0" w:color="auto"/>
              <w:bottom w:val="single" w:sz="4" w:space="0" w:color="auto"/>
              <w:right w:val="single" w:sz="4" w:space="0" w:color="auto"/>
            </w:tcBorders>
            <w:vAlign w:val="center"/>
          </w:tcPr>
          <w:p w:rsidR="007B0981" w:rsidRDefault="009B2FD9">
            <w:pPr>
              <w:spacing w:line="480" w:lineRule="auto"/>
              <w:jc w:val="center"/>
              <w:rPr>
                <w:sz w:val="24"/>
              </w:rPr>
            </w:pPr>
            <w:r>
              <w:rPr>
                <w:sz w:val="24"/>
              </w:rPr>
              <w:t>职称</w:t>
            </w:r>
          </w:p>
        </w:tc>
        <w:tc>
          <w:tcPr>
            <w:tcW w:w="1350" w:type="dxa"/>
            <w:tcBorders>
              <w:top w:val="single" w:sz="4" w:space="0" w:color="auto"/>
              <w:left w:val="single" w:sz="4" w:space="0" w:color="auto"/>
              <w:bottom w:val="single" w:sz="4" w:space="0" w:color="auto"/>
              <w:right w:val="single" w:sz="4" w:space="0" w:color="auto"/>
            </w:tcBorders>
            <w:vAlign w:val="center"/>
          </w:tcPr>
          <w:p w:rsidR="007B0981" w:rsidRDefault="009B2FD9">
            <w:pPr>
              <w:spacing w:line="480" w:lineRule="auto"/>
              <w:jc w:val="center"/>
              <w:rPr>
                <w:sz w:val="24"/>
              </w:rPr>
            </w:pPr>
            <w:r>
              <w:rPr>
                <w:sz w:val="24"/>
              </w:rPr>
              <w:t>研究员</w:t>
            </w:r>
          </w:p>
        </w:tc>
        <w:tc>
          <w:tcPr>
            <w:tcW w:w="1800" w:type="dxa"/>
            <w:tcBorders>
              <w:top w:val="single" w:sz="4" w:space="0" w:color="auto"/>
              <w:left w:val="single" w:sz="4" w:space="0" w:color="auto"/>
              <w:bottom w:val="single" w:sz="4" w:space="0" w:color="auto"/>
              <w:right w:val="single" w:sz="4" w:space="0" w:color="auto"/>
            </w:tcBorders>
            <w:vAlign w:val="center"/>
          </w:tcPr>
          <w:p w:rsidR="007B0981" w:rsidRDefault="009B2FD9">
            <w:pPr>
              <w:spacing w:line="480" w:lineRule="auto"/>
              <w:jc w:val="center"/>
              <w:rPr>
                <w:sz w:val="24"/>
              </w:rPr>
            </w:pPr>
            <w:r>
              <w:rPr>
                <w:sz w:val="24"/>
              </w:rPr>
              <w:t>研究方向</w:t>
            </w:r>
          </w:p>
        </w:tc>
        <w:tc>
          <w:tcPr>
            <w:tcW w:w="2700" w:type="dxa"/>
            <w:tcBorders>
              <w:top w:val="single" w:sz="4" w:space="0" w:color="auto"/>
              <w:left w:val="single" w:sz="4" w:space="0" w:color="auto"/>
              <w:bottom w:val="single" w:sz="4" w:space="0" w:color="auto"/>
              <w:right w:val="single" w:sz="4" w:space="0" w:color="auto"/>
            </w:tcBorders>
            <w:vAlign w:val="center"/>
          </w:tcPr>
          <w:p w:rsidR="007B0981" w:rsidRDefault="009B2FD9">
            <w:pPr>
              <w:spacing w:line="480" w:lineRule="auto"/>
              <w:rPr>
                <w:sz w:val="24"/>
              </w:rPr>
            </w:pPr>
            <w:r>
              <w:rPr>
                <w:sz w:val="24"/>
              </w:rPr>
              <w:t>功能高分子</w:t>
            </w:r>
          </w:p>
        </w:tc>
      </w:tr>
      <w:tr w:rsidR="007B0981">
        <w:trPr>
          <w:cantSplit/>
          <w:trHeight w:val="599"/>
        </w:trPr>
        <w:tc>
          <w:tcPr>
            <w:tcW w:w="1186" w:type="dxa"/>
            <w:tcBorders>
              <w:top w:val="single" w:sz="4" w:space="0" w:color="auto"/>
              <w:left w:val="single" w:sz="4" w:space="0" w:color="auto"/>
              <w:bottom w:val="single" w:sz="4" w:space="0" w:color="auto"/>
              <w:right w:val="single" w:sz="4" w:space="0" w:color="auto"/>
            </w:tcBorders>
            <w:vAlign w:val="center"/>
          </w:tcPr>
          <w:p w:rsidR="007B0981" w:rsidRDefault="009B2FD9">
            <w:pPr>
              <w:jc w:val="center"/>
              <w:rPr>
                <w:sz w:val="24"/>
              </w:rPr>
            </w:pPr>
            <w:r>
              <w:rPr>
                <w:sz w:val="24"/>
              </w:rPr>
              <w:t>所在单位</w:t>
            </w:r>
          </w:p>
        </w:tc>
        <w:tc>
          <w:tcPr>
            <w:tcW w:w="7922" w:type="dxa"/>
            <w:gridSpan w:val="6"/>
            <w:tcBorders>
              <w:top w:val="single" w:sz="4" w:space="0" w:color="auto"/>
              <w:left w:val="single" w:sz="4" w:space="0" w:color="auto"/>
              <w:bottom w:val="single" w:sz="4" w:space="0" w:color="auto"/>
              <w:right w:val="single" w:sz="4" w:space="0" w:color="auto"/>
            </w:tcBorders>
            <w:vAlign w:val="center"/>
          </w:tcPr>
          <w:p w:rsidR="007B0981" w:rsidRDefault="009B2FD9">
            <w:pPr>
              <w:rPr>
                <w:sz w:val="24"/>
              </w:rPr>
            </w:pPr>
            <w:r>
              <w:rPr>
                <w:sz w:val="24"/>
              </w:rPr>
              <w:t>化学与材料学院材料系</w:t>
            </w:r>
          </w:p>
        </w:tc>
      </w:tr>
      <w:tr w:rsidR="007B0981">
        <w:trPr>
          <w:cantSplit/>
          <w:trHeight w:val="596"/>
        </w:trPr>
        <w:tc>
          <w:tcPr>
            <w:tcW w:w="1186" w:type="dxa"/>
            <w:tcBorders>
              <w:top w:val="single" w:sz="4" w:space="0" w:color="auto"/>
              <w:left w:val="single" w:sz="4" w:space="0" w:color="auto"/>
              <w:bottom w:val="single" w:sz="4" w:space="0" w:color="auto"/>
              <w:right w:val="single" w:sz="4" w:space="0" w:color="auto"/>
            </w:tcBorders>
            <w:vAlign w:val="center"/>
          </w:tcPr>
          <w:p w:rsidR="007B0981" w:rsidRDefault="009B2FD9">
            <w:pPr>
              <w:jc w:val="center"/>
              <w:rPr>
                <w:sz w:val="24"/>
              </w:rPr>
            </w:pPr>
            <w:r>
              <w:rPr>
                <w:sz w:val="24"/>
              </w:rPr>
              <w:t>课题名称</w:t>
            </w:r>
          </w:p>
        </w:tc>
        <w:tc>
          <w:tcPr>
            <w:tcW w:w="7922" w:type="dxa"/>
            <w:gridSpan w:val="6"/>
            <w:tcBorders>
              <w:top w:val="single" w:sz="4" w:space="0" w:color="auto"/>
              <w:left w:val="single" w:sz="4" w:space="0" w:color="auto"/>
              <w:bottom w:val="single" w:sz="4" w:space="0" w:color="auto"/>
              <w:right w:val="single" w:sz="4" w:space="0" w:color="auto"/>
            </w:tcBorders>
            <w:vAlign w:val="center"/>
          </w:tcPr>
          <w:p w:rsidR="007B0981" w:rsidRDefault="009B2FD9">
            <w:pPr>
              <w:ind w:firstLineChars="100" w:firstLine="240"/>
              <w:rPr>
                <w:sz w:val="24"/>
              </w:rPr>
            </w:pPr>
            <w:r>
              <w:rPr>
                <w:sz w:val="24"/>
              </w:rPr>
              <w:t>透明质酸盐微凝胶与巨噬细胞的相互作用</w:t>
            </w:r>
          </w:p>
        </w:tc>
      </w:tr>
      <w:tr w:rsidR="007B0981">
        <w:tc>
          <w:tcPr>
            <w:tcW w:w="1186" w:type="dxa"/>
            <w:tcBorders>
              <w:top w:val="single" w:sz="4" w:space="0" w:color="auto"/>
              <w:left w:val="single" w:sz="4" w:space="0" w:color="auto"/>
              <w:bottom w:val="single" w:sz="4" w:space="0" w:color="auto"/>
              <w:right w:val="single" w:sz="4" w:space="0" w:color="auto"/>
            </w:tcBorders>
            <w:vAlign w:val="center"/>
          </w:tcPr>
          <w:p w:rsidR="007B0981" w:rsidRDefault="009B2FD9">
            <w:pPr>
              <w:jc w:val="center"/>
              <w:rPr>
                <w:sz w:val="24"/>
              </w:rPr>
            </w:pPr>
            <w:r>
              <w:rPr>
                <w:sz w:val="24"/>
              </w:rPr>
              <w:t>课题类型</w:t>
            </w:r>
          </w:p>
        </w:tc>
        <w:tc>
          <w:tcPr>
            <w:tcW w:w="3422" w:type="dxa"/>
            <w:gridSpan w:val="4"/>
            <w:tcBorders>
              <w:top w:val="single" w:sz="4" w:space="0" w:color="auto"/>
              <w:left w:val="single" w:sz="4" w:space="0" w:color="auto"/>
              <w:bottom w:val="single" w:sz="4" w:space="0" w:color="auto"/>
              <w:right w:val="single" w:sz="4" w:space="0" w:color="auto"/>
            </w:tcBorders>
            <w:vAlign w:val="center"/>
          </w:tcPr>
          <w:p w:rsidR="007B0981" w:rsidRDefault="009B2FD9">
            <w:pPr>
              <w:jc w:val="center"/>
              <w:rPr>
                <w:sz w:val="24"/>
              </w:rPr>
            </w:pPr>
            <w:r>
              <w:rPr>
                <w:sz w:val="24"/>
              </w:rPr>
              <w:t>毕业论文</w:t>
            </w:r>
          </w:p>
        </w:tc>
        <w:tc>
          <w:tcPr>
            <w:tcW w:w="1800" w:type="dxa"/>
            <w:tcBorders>
              <w:top w:val="single" w:sz="4" w:space="0" w:color="auto"/>
              <w:left w:val="single" w:sz="4" w:space="0" w:color="auto"/>
              <w:bottom w:val="single" w:sz="4" w:space="0" w:color="auto"/>
              <w:right w:val="single" w:sz="4" w:space="0" w:color="auto"/>
            </w:tcBorders>
            <w:vAlign w:val="center"/>
          </w:tcPr>
          <w:p w:rsidR="007B0981" w:rsidRDefault="009B2FD9">
            <w:pPr>
              <w:spacing w:line="480" w:lineRule="auto"/>
              <w:jc w:val="center"/>
            </w:pPr>
            <w:r>
              <w:rPr>
                <w:sz w:val="24"/>
              </w:rPr>
              <w:t>课题来源</w:t>
            </w:r>
          </w:p>
        </w:tc>
        <w:tc>
          <w:tcPr>
            <w:tcW w:w="2700" w:type="dxa"/>
            <w:tcBorders>
              <w:top w:val="single" w:sz="4" w:space="0" w:color="auto"/>
              <w:left w:val="single" w:sz="4" w:space="0" w:color="auto"/>
              <w:bottom w:val="single" w:sz="4" w:space="0" w:color="auto"/>
              <w:right w:val="single" w:sz="4" w:space="0" w:color="auto"/>
            </w:tcBorders>
            <w:vAlign w:val="center"/>
          </w:tcPr>
          <w:p w:rsidR="007B0981" w:rsidRDefault="009B2FD9">
            <w:pPr>
              <w:spacing w:line="480" w:lineRule="auto"/>
              <w:jc w:val="center"/>
            </w:pPr>
            <w:r>
              <w:t>科研</w:t>
            </w:r>
          </w:p>
        </w:tc>
      </w:tr>
      <w:tr w:rsidR="007B0981">
        <w:trPr>
          <w:cantSplit/>
        </w:trPr>
        <w:tc>
          <w:tcPr>
            <w:tcW w:w="1788" w:type="dxa"/>
            <w:gridSpan w:val="2"/>
            <w:tcBorders>
              <w:top w:val="single" w:sz="4" w:space="0" w:color="auto"/>
              <w:left w:val="single" w:sz="4" w:space="0" w:color="auto"/>
              <w:bottom w:val="single" w:sz="4" w:space="0" w:color="auto"/>
              <w:right w:val="single" w:sz="4" w:space="0" w:color="auto"/>
            </w:tcBorders>
            <w:vAlign w:val="center"/>
          </w:tcPr>
          <w:p w:rsidR="007B0981" w:rsidRDefault="009B2FD9">
            <w:pPr>
              <w:jc w:val="center"/>
              <w:rPr>
                <w:sz w:val="24"/>
              </w:rPr>
            </w:pPr>
            <w:r>
              <w:rPr>
                <w:sz w:val="24"/>
              </w:rPr>
              <w:t>对学生的要求</w:t>
            </w:r>
          </w:p>
        </w:tc>
        <w:tc>
          <w:tcPr>
            <w:tcW w:w="7320" w:type="dxa"/>
            <w:gridSpan w:val="5"/>
            <w:tcBorders>
              <w:top w:val="single" w:sz="4" w:space="0" w:color="auto"/>
              <w:left w:val="single" w:sz="4" w:space="0" w:color="auto"/>
              <w:bottom w:val="single" w:sz="4" w:space="0" w:color="auto"/>
              <w:right w:val="single" w:sz="4" w:space="0" w:color="auto"/>
            </w:tcBorders>
            <w:vAlign w:val="center"/>
          </w:tcPr>
          <w:p w:rsidR="007B0981" w:rsidRDefault="009B2FD9">
            <w:pPr>
              <w:widowControl/>
              <w:jc w:val="left"/>
              <w:rPr>
                <w:kern w:val="0"/>
                <w:sz w:val="24"/>
              </w:rPr>
            </w:pPr>
            <w:r>
              <w:rPr>
                <w:rFonts w:hAnsi="宋体"/>
                <w:kern w:val="0"/>
                <w:sz w:val="24"/>
              </w:rPr>
              <w:t>具有设计实验方案和进行实验的能力，掌握基本合成技能和表征方法并能独立撰写毕业论文。</w:t>
            </w:r>
          </w:p>
        </w:tc>
      </w:tr>
      <w:tr w:rsidR="007B0981">
        <w:trPr>
          <w:trHeight w:val="5124"/>
        </w:trPr>
        <w:tc>
          <w:tcPr>
            <w:tcW w:w="9108" w:type="dxa"/>
            <w:gridSpan w:val="7"/>
            <w:tcBorders>
              <w:top w:val="single" w:sz="4" w:space="0" w:color="auto"/>
              <w:left w:val="single" w:sz="4" w:space="0" w:color="auto"/>
              <w:bottom w:val="single" w:sz="4" w:space="0" w:color="auto"/>
              <w:right w:val="single" w:sz="4" w:space="0" w:color="auto"/>
            </w:tcBorders>
          </w:tcPr>
          <w:p w:rsidR="007B0981" w:rsidRDefault="009B2FD9">
            <w:pPr>
              <w:spacing w:line="480" w:lineRule="auto"/>
            </w:pPr>
            <w:r>
              <w:t>请简述本课题的意义、内容、主要任务、预期目标等。</w:t>
            </w:r>
          </w:p>
          <w:p w:rsidR="007B0981" w:rsidRPr="009B2FD9" w:rsidRDefault="009B2FD9" w:rsidP="009B2FD9">
            <w:pPr>
              <w:adjustRightInd w:val="0"/>
              <w:snapToGrid w:val="0"/>
              <w:rPr>
                <w:rFonts w:hint="eastAsia"/>
              </w:rPr>
            </w:pPr>
            <w:r>
              <w:t>课题意义：</w:t>
            </w:r>
          </w:p>
          <w:p w:rsidR="007B0981" w:rsidRDefault="009B2FD9">
            <w:pPr>
              <w:adjustRightInd w:val="0"/>
              <w:snapToGrid w:val="0"/>
              <w:spacing w:line="360" w:lineRule="auto"/>
              <w:rPr>
                <w:szCs w:val="21"/>
              </w:rPr>
            </w:pPr>
            <w:r>
              <w:rPr>
                <w:szCs w:val="21"/>
              </w:rPr>
              <w:t>巨噬细胞是机</w:t>
            </w:r>
            <w:r>
              <w:rPr>
                <w:szCs w:val="21"/>
              </w:rPr>
              <w:t>体免疫的重要组成部分，在不同微环境中呈不同的表型和功能，其表型的变化往往决定着肿瘤、炎症及组织修复进程。通过生物材料调控巨噬细胞亚型和功能达到治疗相关炎症疾病日益受到关注。材料的化学、物理因素影响着巨噬细胞的行为，包括结合和吞噬、极化和免疫调控功能等。已有研究表明不同活性离子组合</w:t>
            </w:r>
            <w:r>
              <w:rPr>
                <w:szCs w:val="21"/>
              </w:rPr>
              <w:t>可以</w:t>
            </w:r>
            <w:r>
              <w:rPr>
                <w:szCs w:val="21"/>
              </w:rPr>
              <w:t>调控巨噬细胞反应</w:t>
            </w:r>
            <w:r>
              <w:rPr>
                <w:szCs w:val="21"/>
              </w:rPr>
              <w:t>，</w:t>
            </w:r>
            <w:r>
              <w:rPr>
                <w:szCs w:val="21"/>
              </w:rPr>
              <w:t>如</w:t>
            </w:r>
            <w:proofErr w:type="gramStart"/>
            <w:r>
              <w:rPr>
                <w:szCs w:val="21"/>
              </w:rPr>
              <w:t>二价锌离子</w:t>
            </w:r>
            <w:proofErr w:type="gramEnd"/>
            <w:r>
              <w:rPr>
                <w:szCs w:val="21"/>
              </w:rPr>
              <w:t>；</w:t>
            </w:r>
            <w:r>
              <w:rPr>
                <w:rFonts w:hint="eastAsia"/>
                <w:szCs w:val="21"/>
              </w:rPr>
              <w:t>透明质酸（</w:t>
            </w:r>
            <w:r>
              <w:rPr>
                <w:szCs w:val="21"/>
              </w:rPr>
              <w:t>HA</w:t>
            </w:r>
            <w:r>
              <w:rPr>
                <w:rFonts w:hint="eastAsia"/>
                <w:szCs w:val="21"/>
              </w:rPr>
              <w:t>）</w:t>
            </w:r>
            <w:r>
              <w:rPr>
                <w:szCs w:val="21"/>
              </w:rPr>
              <w:t>作为</w:t>
            </w:r>
            <w:r>
              <w:rPr>
                <w:szCs w:val="21"/>
              </w:rPr>
              <w:t>细胞外基质和细胞间质的主要成分，</w:t>
            </w:r>
            <w:r>
              <w:rPr>
                <w:szCs w:val="21"/>
              </w:rPr>
              <w:t>通</w:t>
            </w:r>
            <w:r>
              <w:rPr>
                <w:szCs w:val="21"/>
                <w:shd w:val="clear" w:color="auto" w:fill="FFFFFF"/>
              </w:rPr>
              <w:t>过与</w:t>
            </w:r>
            <w:r>
              <w:rPr>
                <w:szCs w:val="21"/>
                <w:shd w:val="clear" w:color="auto" w:fill="FFFFFF"/>
              </w:rPr>
              <w:t>巨噬</w:t>
            </w:r>
            <w:r>
              <w:rPr>
                <w:szCs w:val="21"/>
                <w:shd w:val="clear" w:color="auto" w:fill="FFFFFF"/>
              </w:rPr>
              <w:t>细胞表面的受体结合，</w:t>
            </w:r>
            <w:r>
              <w:rPr>
                <w:szCs w:val="21"/>
                <w:shd w:val="clear" w:color="auto" w:fill="FFFFFF"/>
              </w:rPr>
              <w:t>影响巨噬细胞</w:t>
            </w:r>
            <w:r>
              <w:rPr>
                <w:rFonts w:hint="eastAsia"/>
                <w:szCs w:val="21"/>
                <w:shd w:val="clear" w:color="auto" w:fill="FFFFFF"/>
              </w:rPr>
              <w:t>吞噬作用</w:t>
            </w:r>
            <w:r>
              <w:rPr>
                <w:szCs w:val="21"/>
                <w:shd w:val="clear" w:color="auto" w:fill="FFFFFF"/>
              </w:rPr>
              <w:t>。然而，协同</w:t>
            </w:r>
            <w:r>
              <w:rPr>
                <w:szCs w:val="21"/>
              </w:rPr>
              <w:t>透明质酸</w:t>
            </w:r>
            <w:r>
              <w:rPr>
                <w:szCs w:val="21"/>
              </w:rPr>
              <w:t>和</w:t>
            </w:r>
            <w:r>
              <w:rPr>
                <w:szCs w:val="21"/>
              </w:rPr>
              <w:t>活性离子</w:t>
            </w:r>
            <w:r>
              <w:rPr>
                <w:szCs w:val="21"/>
              </w:rPr>
              <w:t>与巨噬细胞的相互作用还有待研究。因此，</w:t>
            </w:r>
            <w:r>
              <w:rPr>
                <w:szCs w:val="21"/>
              </w:rPr>
              <w:t>本课题提出一种构建透明质酸盐微凝胶</w:t>
            </w:r>
            <w:r>
              <w:rPr>
                <w:rFonts w:hint="eastAsia"/>
                <w:szCs w:val="21"/>
              </w:rPr>
              <w:t>的</w:t>
            </w:r>
            <w:r>
              <w:rPr>
                <w:szCs w:val="21"/>
              </w:rPr>
              <w:t>方法，并对其进行表征与生物相容性的评价，进一步研究</w:t>
            </w:r>
            <w:r>
              <w:rPr>
                <w:szCs w:val="21"/>
              </w:rPr>
              <w:t>其</w:t>
            </w:r>
            <w:r>
              <w:rPr>
                <w:szCs w:val="21"/>
              </w:rPr>
              <w:t>与巨噬细胞的相互作用，调控</w:t>
            </w:r>
            <w:r>
              <w:rPr>
                <w:szCs w:val="21"/>
              </w:rPr>
              <w:t>炎症反</w:t>
            </w:r>
            <w:r>
              <w:rPr>
                <w:szCs w:val="21"/>
              </w:rPr>
              <w:t>应。该体系有望成为一种调控巨噬细胞</w:t>
            </w:r>
            <w:r>
              <w:rPr>
                <w:rFonts w:hint="eastAsia"/>
                <w:szCs w:val="21"/>
              </w:rPr>
              <w:t>，</w:t>
            </w:r>
            <w:r>
              <w:rPr>
                <w:rFonts w:hint="eastAsia"/>
                <w:szCs w:val="21"/>
              </w:rPr>
              <w:t>治疗</w:t>
            </w:r>
            <w:r>
              <w:rPr>
                <w:szCs w:val="21"/>
              </w:rPr>
              <w:t>相关疾病</w:t>
            </w:r>
            <w:r>
              <w:rPr>
                <w:szCs w:val="21"/>
              </w:rPr>
              <w:t>的新型材料。</w:t>
            </w:r>
          </w:p>
          <w:p w:rsidR="007B0981" w:rsidRDefault="007B0981">
            <w:pPr>
              <w:adjustRightInd w:val="0"/>
              <w:snapToGrid w:val="0"/>
            </w:pPr>
          </w:p>
          <w:p w:rsidR="007B0981" w:rsidRDefault="009B2FD9">
            <w:pPr>
              <w:adjustRightInd w:val="0"/>
              <w:snapToGrid w:val="0"/>
            </w:pPr>
            <w:r>
              <w:t>实验内容：</w:t>
            </w:r>
          </w:p>
          <w:p w:rsidR="007B0981" w:rsidRDefault="009B2FD9">
            <w:pPr>
              <w:numPr>
                <w:ilvl w:val="0"/>
                <w:numId w:val="1"/>
              </w:numPr>
              <w:adjustRightInd w:val="0"/>
              <w:snapToGrid w:val="0"/>
            </w:pPr>
            <w:r>
              <w:t>制备交联透明质酸纳米微球。采用</w:t>
            </w:r>
            <w:r>
              <w:t>TEM</w:t>
            </w:r>
            <w:r>
              <w:t>、傅里叶红外光谱分析仪、纳米粒度及</w:t>
            </w:r>
            <w:r>
              <w:t>Zeta</w:t>
            </w:r>
            <w:r>
              <w:t>电位分析仪进行探讨。</w:t>
            </w:r>
          </w:p>
          <w:p w:rsidR="007B0981" w:rsidRDefault="009B2FD9">
            <w:pPr>
              <w:numPr>
                <w:ilvl w:val="0"/>
                <w:numId w:val="1"/>
              </w:numPr>
              <w:adjustRightInd w:val="0"/>
              <w:snapToGrid w:val="0"/>
            </w:pPr>
            <w:r>
              <w:t>利用交联的透明质酸纳米微球吸附</w:t>
            </w:r>
            <w:r>
              <w:t>Zn</w:t>
            </w:r>
            <w:r>
              <w:rPr>
                <w:vertAlign w:val="superscript"/>
              </w:rPr>
              <w:t>2+</w:t>
            </w:r>
            <w:r>
              <w:t>。采用</w:t>
            </w:r>
            <w:r>
              <w:t>TEM</w:t>
            </w:r>
            <w:r>
              <w:t>、紫外光谱分析仪进行探讨。</w:t>
            </w:r>
          </w:p>
          <w:p w:rsidR="007B0981" w:rsidRDefault="009B2FD9">
            <w:pPr>
              <w:numPr>
                <w:ilvl w:val="0"/>
                <w:numId w:val="1"/>
              </w:numPr>
              <w:adjustRightInd w:val="0"/>
              <w:snapToGrid w:val="0"/>
            </w:pPr>
            <w:r>
              <w:t>探究透明质酸盐微凝胶与巨噬细胞相互作用。采用</w:t>
            </w:r>
            <w:r>
              <w:t>QPCR</w:t>
            </w:r>
            <w:r>
              <w:t>检测巨噬细胞</w:t>
            </w:r>
            <w:r>
              <w:t>M1</w:t>
            </w:r>
            <w:r>
              <w:t>或</w:t>
            </w:r>
            <w:r>
              <w:t>M2</w:t>
            </w:r>
            <w:proofErr w:type="gramStart"/>
            <w:r>
              <w:t>型相关</w:t>
            </w:r>
            <w:proofErr w:type="gramEnd"/>
            <w:r>
              <w:t>标记物的表达，如</w:t>
            </w:r>
            <w:r>
              <w:t>iNOS,Arg-1</w:t>
            </w:r>
            <w:r>
              <w:t>等。采用</w:t>
            </w:r>
            <w:r>
              <w:t>ELISA</w:t>
            </w:r>
            <w:r>
              <w:t>检测</w:t>
            </w:r>
            <w:proofErr w:type="gramStart"/>
            <w:r>
              <w:t>巨噬细胞促炎或</w:t>
            </w:r>
            <w:proofErr w:type="gramEnd"/>
            <w:r>
              <w:t>抗炎因子的表达，如</w:t>
            </w:r>
            <w:r>
              <w:t>TNF-α</w:t>
            </w:r>
            <w:r>
              <w:t>，</w:t>
            </w:r>
            <w:r>
              <w:t>IL-1β</w:t>
            </w:r>
            <w:r>
              <w:t>，</w:t>
            </w:r>
            <w:r>
              <w:t>IL-10</w:t>
            </w:r>
            <w:r>
              <w:t>等。</w:t>
            </w:r>
          </w:p>
          <w:p w:rsidR="007B0981" w:rsidRDefault="007B0981">
            <w:pPr>
              <w:adjustRightInd w:val="0"/>
              <w:snapToGrid w:val="0"/>
            </w:pPr>
          </w:p>
          <w:p w:rsidR="007B0981" w:rsidRDefault="009B2FD9">
            <w:pPr>
              <w:adjustRightInd w:val="0"/>
              <w:snapToGrid w:val="0"/>
            </w:pPr>
            <w:r>
              <w:t>主要任务：</w:t>
            </w:r>
          </w:p>
          <w:p w:rsidR="007B0981" w:rsidRDefault="009B2FD9">
            <w:pPr>
              <w:numPr>
                <w:ilvl w:val="0"/>
                <w:numId w:val="2"/>
              </w:numPr>
              <w:adjustRightInd w:val="0"/>
              <w:snapToGrid w:val="0"/>
              <w:ind w:left="11"/>
            </w:pPr>
            <w:r>
              <w:t>学习并掌握高分子的合成及对合成物的分析方法，能够独立完成相关的实验操作。</w:t>
            </w:r>
          </w:p>
          <w:p w:rsidR="007B0981" w:rsidRDefault="009B2FD9">
            <w:pPr>
              <w:numPr>
                <w:ilvl w:val="0"/>
                <w:numId w:val="2"/>
              </w:numPr>
              <w:adjustRightInd w:val="0"/>
              <w:snapToGrid w:val="0"/>
              <w:ind w:left="11"/>
            </w:pPr>
            <w:r>
              <w:t>掌握细胞培养及相关的细胞实验。</w:t>
            </w:r>
          </w:p>
          <w:p w:rsidR="007B0981" w:rsidRDefault="009B2FD9">
            <w:pPr>
              <w:adjustRightInd w:val="0"/>
              <w:snapToGrid w:val="0"/>
            </w:pPr>
            <w:r>
              <w:t>（</w:t>
            </w:r>
            <w:r>
              <w:t>3</w:t>
            </w:r>
            <w:r>
              <w:t>）研究透明质酸盐微凝胶与巨噬细胞相互作用。掌握细胞培养及相关的细胞实验。</w:t>
            </w:r>
          </w:p>
          <w:p w:rsidR="007B0981" w:rsidRDefault="007B0981">
            <w:pPr>
              <w:adjustRightInd w:val="0"/>
              <w:snapToGrid w:val="0"/>
            </w:pPr>
          </w:p>
          <w:p w:rsidR="007B0981" w:rsidRDefault="009B2FD9">
            <w:pPr>
              <w:adjustRightInd w:val="0"/>
              <w:snapToGrid w:val="0"/>
            </w:pPr>
            <w:r>
              <w:t>预期目标：</w:t>
            </w:r>
          </w:p>
          <w:p w:rsidR="007B0981" w:rsidRDefault="009B2FD9">
            <w:pPr>
              <w:adjustRightInd w:val="0"/>
              <w:snapToGrid w:val="0"/>
              <w:rPr>
                <w:rFonts w:hint="eastAsia"/>
              </w:rPr>
            </w:pPr>
            <w:r>
              <w:t>得到一种具有良好生物相容性</w:t>
            </w:r>
            <w:r>
              <w:t xml:space="preserve"> </w:t>
            </w:r>
            <w:r>
              <w:t>、生物降解性以及细胞相容性的透明质酸盐微凝胶。</w:t>
            </w:r>
            <w:r>
              <w:rPr>
                <w:szCs w:val="21"/>
              </w:rPr>
              <w:t>研究</w:t>
            </w:r>
            <w:r>
              <w:rPr>
                <w:rFonts w:hint="eastAsia"/>
                <w:szCs w:val="21"/>
              </w:rPr>
              <w:t>出</w:t>
            </w:r>
            <w:r>
              <w:rPr>
                <w:szCs w:val="21"/>
              </w:rPr>
              <w:t>其</w:t>
            </w:r>
            <w:r>
              <w:rPr>
                <w:szCs w:val="21"/>
              </w:rPr>
              <w:t>与巨噬细胞的相互作用</w:t>
            </w:r>
            <w:r>
              <w:rPr>
                <w:szCs w:val="21"/>
              </w:rPr>
              <w:t>。</w:t>
            </w:r>
            <w:bookmarkStart w:id="0" w:name="_GoBack"/>
            <w:bookmarkEnd w:id="0"/>
          </w:p>
          <w:p w:rsidR="007B0981" w:rsidRDefault="009B2FD9">
            <w:pPr>
              <w:spacing w:line="480" w:lineRule="auto"/>
              <w:rPr>
                <w:sz w:val="24"/>
              </w:rPr>
            </w:pPr>
            <w:r>
              <w:t xml:space="preserve">                                       </w:t>
            </w:r>
            <w:r>
              <w:rPr>
                <w:sz w:val="24"/>
              </w:rPr>
              <w:t>导师签字：</w:t>
            </w:r>
            <w:r>
              <w:rPr>
                <w:sz w:val="24"/>
              </w:rPr>
              <w:t xml:space="preserve">               </w:t>
            </w:r>
            <w:r>
              <w:rPr>
                <w:sz w:val="24"/>
              </w:rPr>
              <w:t>年</w:t>
            </w:r>
            <w:r>
              <w:rPr>
                <w:sz w:val="24"/>
              </w:rPr>
              <w:t xml:space="preserve">   </w:t>
            </w:r>
            <w:r>
              <w:rPr>
                <w:sz w:val="24"/>
              </w:rPr>
              <w:t>月</w:t>
            </w:r>
            <w:r>
              <w:rPr>
                <w:sz w:val="24"/>
              </w:rPr>
              <w:t xml:space="preserve">   </w:t>
            </w:r>
            <w:r>
              <w:rPr>
                <w:sz w:val="24"/>
              </w:rPr>
              <w:t>日</w:t>
            </w:r>
          </w:p>
        </w:tc>
      </w:tr>
    </w:tbl>
    <w:p w:rsidR="007B0981" w:rsidRDefault="007B0981"/>
    <w:sectPr w:rsidR="007B098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隶书">
    <w:panose1 w:val="02010800040101010101"/>
    <w:charset w:val="86"/>
    <w:family w:val="auto"/>
    <w:pitch w:val="variable"/>
    <w:sig w:usb0="00000001" w:usb1="080F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EE08"/>
    <w:multiLevelType w:val="singleLevel"/>
    <w:tmpl w:val="0EAAEE08"/>
    <w:lvl w:ilvl="0">
      <w:start w:val="1"/>
      <w:numFmt w:val="decimal"/>
      <w:suff w:val="nothing"/>
      <w:lvlText w:val="（%1）"/>
      <w:lvlJc w:val="left"/>
    </w:lvl>
  </w:abstractNum>
  <w:abstractNum w:abstractNumId="1" w15:restartNumberingAfterBreak="0">
    <w:nsid w:val="4C2823CB"/>
    <w:multiLevelType w:val="singleLevel"/>
    <w:tmpl w:val="4C2823CB"/>
    <w:lvl w:ilvl="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embedSystemFonts/>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37D07991"/>
    <w:rsid w:val="00027BC5"/>
    <w:rsid w:val="001102B1"/>
    <w:rsid w:val="002A717B"/>
    <w:rsid w:val="007B0981"/>
    <w:rsid w:val="007D4EB3"/>
    <w:rsid w:val="008358DF"/>
    <w:rsid w:val="009B2FD9"/>
    <w:rsid w:val="00A010E2"/>
    <w:rsid w:val="00A46595"/>
    <w:rsid w:val="0735756C"/>
    <w:rsid w:val="14C43FD8"/>
    <w:rsid w:val="1A543479"/>
    <w:rsid w:val="23F41718"/>
    <w:rsid w:val="2E853B0C"/>
    <w:rsid w:val="37D07991"/>
    <w:rsid w:val="3CAE3ED5"/>
    <w:rsid w:val="493A331B"/>
    <w:rsid w:val="55680256"/>
    <w:rsid w:val="630D565F"/>
    <w:rsid w:val="6F9B2C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DC4517"/>
  <w15:docId w15:val="{BCFFA614-5EC7-44AA-9949-AAE28D581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character" w:styleId="a7">
    <w:name w:val="Hyperlink"/>
    <w:rPr>
      <w:color w:val="0563C1"/>
      <w:u w:val="single"/>
    </w:rPr>
  </w:style>
  <w:style w:type="character" w:customStyle="1" w:styleId="a6">
    <w:name w:val="页眉 字符"/>
    <w:basedOn w:val="a0"/>
    <w:link w:val="a5"/>
    <w:rPr>
      <w:kern w:val="2"/>
      <w:sz w:val="18"/>
      <w:szCs w:val="18"/>
    </w:rPr>
  </w:style>
  <w:style w:type="character" w:customStyle="1" w:styleId="a4">
    <w:name w:val="页脚 字符"/>
    <w:basedOn w:val="a0"/>
    <w:link w:val="a3"/>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144</Words>
  <Characters>825</Characters>
  <Application>Microsoft Office Word</Application>
  <DocSecurity>0</DocSecurity>
  <Lines>6</Lines>
  <Paragraphs>1</Paragraphs>
  <ScaleCrop>false</ScaleCrop>
  <Company>Microsoft</Company>
  <LinksUpToDate>false</LinksUpToDate>
  <CharactersWithSpaces>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dc:creator>
  <cp:lastModifiedBy>RONG ZENG</cp:lastModifiedBy>
  <cp:revision>3</cp:revision>
  <dcterms:created xsi:type="dcterms:W3CDTF">2019-06-16T01:00:00Z</dcterms:created>
  <dcterms:modified xsi:type="dcterms:W3CDTF">2019-06-16T16:15:00Z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